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813" w:rsidRPr="00836813" w:rsidRDefault="00836813" w:rsidP="00836813">
      <w:pPr>
        <w:pStyle w:val="Heading1"/>
      </w:pPr>
      <w:r w:rsidRPr="00836813">
        <w:t xml:space="preserve">Functional mathematics in a digital age: </w:t>
      </w:r>
      <w:r w:rsidRPr="00836813">
        <w:rPr>
          <w:color w:val="9FA616"/>
        </w:rPr>
        <w:t xml:space="preserve">What do we really need to teach? </w:t>
      </w:r>
    </w:p>
    <w:p w:rsidR="00836813" w:rsidRPr="00836813" w:rsidRDefault="00836813" w:rsidP="00836813">
      <w:pPr>
        <w:pStyle w:val="Subtitle"/>
      </w:pPr>
      <w:r w:rsidRPr="00836813">
        <w:t xml:space="preserve">by Dr Rhonda </w:t>
      </w:r>
      <w:proofErr w:type="spellStart"/>
      <w:r w:rsidRPr="00836813">
        <w:t>Faragher</w:t>
      </w:r>
      <w:proofErr w:type="spellEnd"/>
      <w:r w:rsidRPr="00836813">
        <w:t xml:space="preserve"> </w:t>
      </w:r>
    </w:p>
    <w:p w:rsidR="00BF052B" w:rsidRPr="00836813" w:rsidRDefault="00836813" w:rsidP="00836813">
      <w:pPr>
        <w:pStyle w:val="Intro"/>
      </w:pPr>
      <w:r w:rsidRPr="00836813">
        <w:t>Many parents of children with Down</w:t>
      </w:r>
      <w:r>
        <w:t xml:space="preserve"> </w:t>
      </w:r>
      <w:r w:rsidRPr="00836813">
        <w:t>syndrome fi</w:t>
      </w:r>
      <w:r>
        <w:t xml:space="preserve">nd themselves in a conversation </w:t>
      </w:r>
      <w:r w:rsidRPr="00836813">
        <w:t>with schoo</w:t>
      </w:r>
      <w:r>
        <w:t xml:space="preserve">l staff about the need to learn </w:t>
      </w:r>
      <w:r w:rsidRPr="00836813">
        <w:t>functiona</w:t>
      </w:r>
      <w:r>
        <w:t xml:space="preserve">l mathematics. But just what is </w:t>
      </w:r>
      <w:r w:rsidRPr="00836813">
        <w:t>‘functio</w:t>
      </w:r>
      <w:r>
        <w:t xml:space="preserve">nal’ mathematics in our rapidly </w:t>
      </w:r>
      <w:r w:rsidRPr="00836813">
        <w:t>changing, technological world?</w:t>
      </w:r>
    </w:p>
    <w:p w:rsidR="00836813" w:rsidRDefault="00836813" w:rsidP="00836813">
      <w:pPr>
        <w:pStyle w:val="Default"/>
      </w:pPr>
    </w:p>
    <w:p w:rsidR="00836813" w:rsidRDefault="00836813" w:rsidP="00836813">
      <w:r>
        <w:t>Firstly, stop and think ab</w:t>
      </w:r>
      <w:r>
        <w:t xml:space="preserve">out what you might include in a </w:t>
      </w:r>
      <w:r>
        <w:t>list of topics of ‘functi</w:t>
      </w:r>
      <w:r>
        <w:t xml:space="preserve">onal mathematics’. How have you </w:t>
      </w:r>
      <w:r>
        <w:t xml:space="preserve">used mathematics </w:t>
      </w:r>
      <w:r>
        <w:t xml:space="preserve">today? What topics did you use? </w:t>
      </w:r>
      <w:r>
        <w:t>Did you write your ca</w:t>
      </w:r>
      <w:r>
        <w:t xml:space="preserve">lculations, compute mentally or </w:t>
      </w:r>
      <w:r>
        <w:t>use a calculator?</w:t>
      </w:r>
    </w:p>
    <w:p w:rsidR="00836813" w:rsidRDefault="00836813" w:rsidP="00836813">
      <w:r>
        <w:t>The big three topi</w:t>
      </w:r>
      <w:r>
        <w:t xml:space="preserve">cs that frequently make the cut </w:t>
      </w:r>
      <w:r>
        <w:t>are money, mass an</w:t>
      </w:r>
      <w:r>
        <w:t xml:space="preserve">d time. Were they on your list? </w:t>
      </w:r>
      <w:r>
        <w:t>Unfortunately, they ar</w:t>
      </w:r>
      <w:r>
        <w:t xml:space="preserve">e often the areas students with </w:t>
      </w:r>
      <w:r>
        <w:t>Down syndrome find m</w:t>
      </w:r>
      <w:r>
        <w:t xml:space="preserve">ost difficult. What about areas </w:t>
      </w:r>
      <w:r>
        <w:t>where these students a</w:t>
      </w:r>
      <w:r>
        <w:t xml:space="preserve">re known to be more successful: </w:t>
      </w:r>
      <w:r>
        <w:t xml:space="preserve">geometry, algebra and </w:t>
      </w:r>
      <w:r>
        <w:t xml:space="preserve">graphing? Are these functional? </w:t>
      </w:r>
      <w:r>
        <w:t>How do we decide what to teach?</w:t>
      </w:r>
    </w:p>
    <w:p w:rsidR="00836813" w:rsidRDefault="00836813" w:rsidP="00836813">
      <w:pPr>
        <w:pStyle w:val="Heading2"/>
      </w:pPr>
      <w:r>
        <w:t>Numeracy</w:t>
      </w:r>
    </w:p>
    <w:p w:rsidR="00836813" w:rsidRDefault="00836813" w:rsidP="00836813">
      <w:r>
        <w:t xml:space="preserve">Numeracy is the </w:t>
      </w:r>
      <w:r>
        <w:t xml:space="preserve">application of a broad range of </w:t>
      </w:r>
      <w:r>
        <w:t>mathematics (not jus</w:t>
      </w:r>
      <w:r>
        <w:t xml:space="preserve">t number or arithmetic) in life </w:t>
      </w:r>
      <w:r>
        <w:t>contexts. Before we c</w:t>
      </w:r>
      <w:r>
        <w:t xml:space="preserve">an apply mathematics we need to </w:t>
      </w:r>
      <w:r>
        <w:t>know and understand t</w:t>
      </w:r>
      <w:r>
        <w:t xml:space="preserve">he mathematics. Furthermore, we </w:t>
      </w:r>
      <w:r>
        <w:t xml:space="preserve">need a surprisingly wide </w:t>
      </w:r>
      <w:r>
        <w:t xml:space="preserve">range of mathematics across our life contexts. </w:t>
      </w:r>
    </w:p>
    <w:p w:rsidR="00836813" w:rsidRDefault="00836813" w:rsidP="00836813">
      <w:r>
        <w:t>Numeracy involves know</w:t>
      </w:r>
      <w:r>
        <w:t xml:space="preserve">ing mathematics from across the </w:t>
      </w:r>
      <w:r>
        <w:t>discipline (e.g. geometry, alge</w:t>
      </w:r>
      <w:r>
        <w:t xml:space="preserve">bra, statistics) and being able </w:t>
      </w:r>
      <w:r>
        <w:t>to decide when to us</w:t>
      </w:r>
      <w:r>
        <w:t xml:space="preserve">e the mathematics and how. Most </w:t>
      </w:r>
      <w:r>
        <w:t>adults have their own ‘r</w:t>
      </w:r>
      <w:r>
        <w:t xml:space="preserve">ules of thumb’ for calculations </w:t>
      </w:r>
      <w:r>
        <w:t>and rarely were these t</w:t>
      </w:r>
      <w:r>
        <w:t xml:space="preserve">aught in school. We find quick, </w:t>
      </w:r>
      <w:r>
        <w:t>approximate methods.</w:t>
      </w:r>
    </w:p>
    <w:p w:rsidR="00836813" w:rsidRDefault="00836813" w:rsidP="00836813">
      <w:r>
        <w:t>A key point is that</w:t>
      </w:r>
      <w:r>
        <w:t xml:space="preserve"> mathematics is not the same as </w:t>
      </w:r>
      <w:r>
        <w:t xml:space="preserve">numeracy. This point is emphasised </w:t>
      </w:r>
      <w:r>
        <w:t>in t</w:t>
      </w:r>
      <w:bookmarkStart w:id="0" w:name="_GoBack"/>
      <w:bookmarkEnd w:id="0"/>
      <w:r>
        <w:t xml:space="preserve">he Australian </w:t>
      </w:r>
      <w:r>
        <w:t>Curriculum (</w:t>
      </w:r>
      <w:hyperlink r:id="rId7" w:history="1">
        <w:r w:rsidRPr="00226DE9">
          <w:rPr>
            <w:rStyle w:val="Hyperlink"/>
          </w:rPr>
          <w:t>www.australiancurriculum.edu.au</w:t>
        </w:r>
      </w:hyperlink>
      <w:r>
        <w:t xml:space="preserve">) </w:t>
      </w:r>
      <w:r>
        <w:t>where mathematics is a</w:t>
      </w:r>
      <w:r>
        <w:t xml:space="preserve"> ‘learning area’ while numeracy </w:t>
      </w:r>
      <w:r>
        <w:t>is a ‘general capability’ and</w:t>
      </w:r>
      <w:r>
        <w:t xml:space="preserve"> goes across all subject areas. </w:t>
      </w:r>
    </w:p>
    <w:p w:rsidR="00836813" w:rsidRDefault="00836813" w:rsidP="00836813">
      <w:r>
        <w:t>Rather than talk of ‘</w:t>
      </w:r>
      <w:r>
        <w:t xml:space="preserve">functional’ mathematics, a more </w:t>
      </w:r>
      <w:r>
        <w:t xml:space="preserve">apt terminology would be </w:t>
      </w:r>
      <w:r>
        <w:t xml:space="preserve">the mathematics required to be numerate. </w:t>
      </w:r>
    </w:p>
    <w:p w:rsidR="00836813" w:rsidRDefault="00836813" w:rsidP="00836813">
      <w:pPr>
        <w:pStyle w:val="Heading2"/>
      </w:pPr>
      <w:r>
        <w:t xml:space="preserve">Developing numerate adults </w:t>
      </w:r>
    </w:p>
    <w:p w:rsidR="00836813" w:rsidRDefault="00836813" w:rsidP="00836813">
      <w:r>
        <w:t>A major goal of school</w:t>
      </w:r>
      <w:r>
        <w:t xml:space="preserve">ing for all learners, including </w:t>
      </w:r>
      <w:r>
        <w:t>those with Down syndrom</w:t>
      </w:r>
      <w:r>
        <w:t xml:space="preserve">e, is to prepare students for a </w:t>
      </w:r>
      <w:r>
        <w:t>numerate adulthood</w:t>
      </w:r>
      <w:r>
        <w:t xml:space="preserve">. The more mathematics we know, </w:t>
      </w:r>
      <w:r>
        <w:t>the more we are able to use i</w:t>
      </w:r>
      <w:r>
        <w:t xml:space="preserve">n the contexts of our lives. </w:t>
      </w:r>
      <w:r>
        <w:t>In school, students need</w:t>
      </w:r>
      <w:r>
        <w:t xml:space="preserve"> to be taught mathematics. They </w:t>
      </w:r>
      <w:r>
        <w:t>need to be given access</w:t>
      </w:r>
      <w:r>
        <w:t xml:space="preserve"> to the mathematics curriculum, </w:t>
      </w:r>
      <w:r>
        <w:t>appropriate for their year l</w:t>
      </w:r>
      <w:r>
        <w:t xml:space="preserve">evel and adjusted as necessary. </w:t>
      </w:r>
      <w:r>
        <w:t>The application of mathe</w:t>
      </w:r>
      <w:r>
        <w:t xml:space="preserve">matics to life contexts is best </w:t>
      </w:r>
      <w:r>
        <w:t>taught in the conte</w:t>
      </w:r>
      <w:r>
        <w:t xml:space="preserve">xts themselves. At school, that </w:t>
      </w:r>
      <w:r>
        <w:t>means in all subjects, no</w:t>
      </w:r>
      <w:r>
        <w:t xml:space="preserve">t just mathematics. That is why </w:t>
      </w:r>
      <w:r>
        <w:t>numeracy has been designat</w:t>
      </w:r>
      <w:r>
        <w:t xml:space="preserve">ed a ‘general capability’ to be taught in all learning areas. </w:t>
      </w:r>
    </w:p>
    <w:p w:rsidR="00836813" w:rsidRDefault="00836813" w:rsidP="00836813">
      <w:r>
        <w:t>Let us return to our earlier list of ‘functional mathematics</w:t>
      </w:r>
      <w:r>
        <w:t xml:space="preserve">’ </w:t>
      </w:r>
      <w:r>
        <w:t>topics. What sho</w:t>
      </w:r>
      <w:r>
        <w:t xml:space="preserve">uld we teach to build numeracy? </w:t>
      </w:r>
      <w:r>
        <w:t>Money is clearly impo</w:t>
      </w:r>
      <w:r>
        <w:t xml:space="preserve">rtant. Let us consider money in </w:t>
      </w:r>
      <w:r>
        <w:t>some depth.</w:t>
      </w:r>
    </w:p>
    <w:p w:rsidR="00836813" w:rsidRDefault="00836813" w:rsidP="00836813">
      <w:pPr>
        <w:pStyle w:val="Heading2"/>
      </w:pPr>
      <w:r>
        <w:lastRenderedPageBreak/>
        <w:t>Financial literacy</w:t>
      </w:r>
    </w:p>
    <w:p w:rsidR="00836813" w:rsidRDefault="00836813" w:rsidP="00836813">
      <w:r>
        <w:t xml:space="preserve">Tendering cash was </w:t>
      </w:r>
      <w:r>
        <w:t xml:space="preserve">once the main focus of programs </w:t>
      </w:r>
      <w:r>
        <w:t>designed to teach stud</w:t>
      </w:r>
      <w:r>
        <w:t xml:space="preserve">ents about money. Technological </w:t>
      </w:r>
      <w:r>
        <w:t>advances are rapidly removin</w:t>
      </w:r>
      <w:r>
        <w:t xml:space="preserve">g the use of cash in Australia. </w:t>
      </w:r>
      <w:r>
        <w:t>Electronic funds transfe</w:t>
      </w:r>
      <w:r>
        <w:t xml:space="preserve">r (including payment of wages), </w:t>
      </w:r>
      <w:r>
        <w:t xml:space="preserve">EFTPOS, and </w:t>
      </w:r>
      <w:proofErr w:type="spellStart"/>
      <w:r>
        <w:t>payWave</w:t>
      </w:r>
      <w:proofErr w:type="spellEnd"/>
      <w:r>
        <w:t xml:space="preserve"> a</w:t>
      </w:r>
      <w:r>
        <w:t xml:space="preserve">re just some of the innovations </w:t>
      </w:r>
      <w:r>
        <w:t>that have led to a dr</w:t>
      </w:r>
      <w:r>
        <w:t xml:space="preserve">amatic drop in the use of coins </w:t>
      </w:r>
      <w:r>
        <w:t>and the amount of cash being withdrawn from ATMs in</w:t>
      </w:r>
      <w:r>
        <w:t xml:space="preserve"> </w:t>
      </w:r>
      <w:r>
        <w:t>Australia.</w:t>
      </w:r>
    </w:p>
    <w:p w:rsidR="00BF052B" w:rsidRDefault="00836813" w:rsidP="00836813">
      <w:r>
        <w:t xml:space="preserve">In order to purchase </w:t>
      </w:r>
      <w:r>
        <w:t xml:space="preserve">we no longer need to be able to </w:t>
      </w:r>
      <w:r>
        <w:t>tender cash or check</w:t>
      </w:r>
      <w:r>
        <w:t xml:space="preserve"> we have been given the correct </w:t>
      </w:r>
      <w:r>
        <w:t>change. What we n</w:t>
      </w:r>
      <w:r>
        <w:t xml:space="preserve">eed to learn is broader, deeper </w:t>
      </w:r>
      <w:r>
        <w:t xml:space="preserve">and forms the basis of </w:t>
      </w:r>
      <w:r>
        <w:t xml:space="preserve">‘financial literacy’. What this </w:t>
      </w:r>
      <w:r>
        <w:t>encompasses has been specified in t</w:t>
      </w:r>
      <w:r>
        <w:t xml:space="preserve">he </w:t>
      </w:r>
      <w:r w:rsidRPr="00C351DB">
        <w:rPr>
          <w:rStyle w:val="Emphasis"/>
        </w:rPr>
        <w:t>National Consumer and Financial Literacy Framework</w:t>
      </w:r>
      <w:r>
        <w:t xml:space="preserve"> (Australian Securities </w:t>
      </w:r>
      <w:r>
        <w:t>and Investment</w:t>
      </w:r>
      <w:r>
        <w:t xml:space="preserve">s </w:t>
      </w:r>
      <w:r w:rsidR="00C351DB">
        <w:t>Commission</w:t>
      </w:r>
      <w:r>
        <w:t xml:space="preserve"> (ASIC), 2011). This </w:t>
      </w:r>
      <w:r>
        <w:t xml:space="preserve">framework considers </w:t>
      </w:r>
      <w:r>
        <w:t xml:space="preserve">three dimensions: Knowledge and </w:t>
      </w:r>
      <w:r>
        <w:t>Understanding; Com</w:t>
      </w:r>
      <w:r>
        <w:t xml:space="preserve">petence; and Responsibility and </w:t>
      </w:r>
      <w:r>
        <w:t>Enterprise. These dimensions em</w:t>
      </w:r>
      <w:r>
        <w:t xml:space="preserve">phasise that financial </w:t>
      </w:r>
      <w:r>
        <w:t xml:space="preserve">literacy goes beyond </w:t>
      </w:r>
      <w:r>
        <w:t xml:space="preserve">knowing how to use money to buy </w:t>
      </w:r>
      <w:r>
        <w:t>goods and services and i</w:t>
      </w:r>
      <w:r>
        <w:t xml:space="preserve">ncludes managing money, finding </w:t>
      </w:r>
      <w:r>
        <w:t>best value, and understa</w:t>
      </w:r>
      <w:r>
        <w:t xml:space="preserve">nding the ethical use of money. </w:t>
      </w:r>
      <w:r>
        <w:t>Clearly a school program t</w:t>
      </w:r>
      <w:r>
        <w:t xml:space="preserve">hat focuses on use of coins and </w:t>
      </w:r>
      <w:r>
        <w:t>calculating change is no</w:t>
      </w:r>
      <w:r>
        <w:t xml:space="preserve"> longer adequate. That would be </w:t>
      </w:r>
      <w:r>
        <w:t>a focus on skills that are no</w:t>
      </w:r>
      <w:r>
        <w:t xml:space="preserve"> longer essential while missing </w:t>
      </w:r>
      <w:r>
        <w:t>key concepts</w:t>
      </w:r>
      <w:r>
        <w:t xml:space="preserve"> such as budgeting and managing </w:t>
      </w:r>
      <w:r>
        <w:t>electronic funds.</w:t>
      </w:r>
    </w:p>
    <w:p w:rsidR="00836813" w:rsidRDefault="00836813" w:rsidP="00836813">
      <w:r>
        <w:t xml:space="preserve">The area of financial literacy is changing rapidly as </w:t>
      </w:r>
      <w:r>
        <w:t xml:space="preserve">new </w:t>
      </w:r>
      <w:r>
        <w:t>technology emerges</w:t>
      </w:r>
      <w:r>
        <w:t xml:space="preserve">. Smart phones have changed the </w:t>
      </w:r>
      <w:r>
        <w:t>way financial transacti</w:t>
      </w:r>
      <w:r>
        <w:t xml:space="preserve">ons occur. This came home to me </w:t>
      </w:r>
      <w:r>
        <w:t>recently. I had carefully fo</w:t>
      </w:r>
      <w:r>
        <w:t xml:space="preserve">llowed the advice to set up two </w:t>
      </w:r>
      <w:r>
        <w:t>accounts for my daugh</w:t>
      </w:r>
      <w:r>
        <w:t xml:space="preserve">ter–one where pay was deposited </w:t>
      </w:r>
      <w:r>
        <w:t xml:space="preserve">and other that was the day-to-day </w:t>
      </w:r>
      <w:r>
        <w:t xml:space="preserve">account. The latter was </w:t>
      </w:r>
      <w:r>
        <w:t>linked to her EFTPOS</w:t>
      </w:r>
      <w:r>
        <w:t xml:space="preserve"> card and was kept to a maximum </w:t>
      </w:r>
      <w:r>
        <w:t>balance of $200. If she</w:t>
      </w:r>
      <w:r>
        <w:t xml:space="preserve"> used it all then that would be </w:t>
      </w:r>
      <w:r>
        <w:t xml:space="preserve">a learning experience </w:t>
      </w:r>
      <w:r>
        <w:t xml:space="preserve">and not a disaster. That worked </w:t>
      </w:r>
      <w:r>
        <w:t>fine until the bank relea</w:t>
      </w:r>
      <w:r>
        <w:t xml:space="preserve">sed a mobile app and her friend </w:t>
      </w:r>
      <w:r>
        <w:t>showed her how to downlo</w:t>
      </w:r>
      <w:r>
        <w:t xml:space="preserve">ad it to her phone. It was just </w:t>
      </w:r>
      <w:r>
        <w:t>so easy to transfer $200 a</w:t>
      </w:r>
      <w:r>
        <w:t xml:space="preserve">t a time – several times in the </w:t>
      </w:r>
      <w:r>
        <w:t>first day! That was a learning experience for both of us.</w:t>
      </w:r>
    </w:p>
    <w:p w:rsidR="00836813" w:rsidRDefault="00836813" w:rsidP="00836813">
      <w:pPr>
        <w:rPr>
          <w:rFonts w:cs="Gill Sans MT"/>
          <w:color w:val="000000"/>
          <w:szCs w:val="20"/>
        </w:rPr>
      </w:pPr>
      <w:r>
        <w:rPr>
          <w:rFonts w:cs="Gill Sans MT"/>
          <w:color w:val="000000"/>
          <w:szCs w:val="20"/>
        </w:rPr>
        <w:t>So, the key is to teach about the nature of money. I have found the use of a bucket to be a good visual. Pay goes in, bucket fills up. Bills go out, bucket empties. If your bucket is empty, you can’t spend any more. Notice here, there are no numbers and no calculations. It is a visual analogy that explains a fundamental concept of financial literacy. From that, other concepts such as saving can be understood. It is good practice to save some amount from every pay. This can be shown as some money going out of the main bucket into a saving bucket. Interest can also be explained as the bank adding a bit extra to your bucket.</w:t>
      </w:r>
    </w:p>
    <w:p w:rsidR="00C351DB" w:rsidRPr="00C351DB" w:rsidRDefault="00C351DB" w:rsidP="00C351DB">
      <w:r w:rsidRPr="00C351DB">
        <w:t xml:space="preserve">Other ideas about developing financial literacy (for all of us!) can be found on the </w:t>
      </w:r>
      <w:proofErr w:type="spellStart"/>
      <w:r w:rsidRPr="00C351DB">
        <w:t>MoneySmart</w:t>
      </w:r>
      <w:proofErr w:type="spellEnd"/>
      <w:r w:rsidRPr="00C351DB">
        <w:t xml:space="preserve"> website:</w:t>
      </w:r>
      <w:r>
        <w:t xml:space="preserve"> </w:t>
      </w:r>
      <w:hyperlink r:id="rId8" w:history="1">
        <w:r w:rsidRPr="00C351DB">
          <w:rPr>
            <w:rStyle w:val="Hyperlink"/>
          </w:rPr>
          <w:t>www.moneysmart.gov.au</w:t>
        </w:r>
      </w:hyperlink>
    </w:p>
    <w:p w:rsidR="00C351DB" w:rsidRPr="00C351DB" w:rsidRDefault="00C351DB" w:rsidP="00C351DB"/>
    <w:p w:rsidR="00C351DB" w:rsidRDefault="00C351DB" w:rsidP="00C351DB">
      <w:pPr>
        <w:pStyle w:val="Heading2"/>
      </w:pPr>
      <w:r>
        <w:t>What else should we teach?</w:t>
      </w:r>
    </w:p>
    <w:p w:rsidR="00C351DB" w:rsidRPr="00C351DB" w:rsidRDefault="00C351DB" w:rsidP="00C351DB">
      <w:r w:rsidRPr="00C351DB">
        <w:t>If we wish students to become numerate adults, we must provide access to as broad a range of mathematics as</w:t>
      </w:r>
    </w:p>
    <w:p w:rsidR="00C351DB" w:rsidRPr="00C351DB" w:rsidRDefault="00C351DB" w:rsidP="00C351DB">
      <w:r w:rsidRPr="00C351DB">
        <w:t xml:space="preserve">we can in the early childhood and school years. There are some key points that must be acknowledged about learning mathematics by students with Down syndrome. These are discussed in detail in the book </w:t>
      </w:r>
      <w:r w:rsidRPr="00C351DB">
        <w:rPr>
          <w:rStyle w:val="Emphasis"/>
        </w:rPr>
        <w:t>Educating Learners with Down Syndrome (2014):</w:t>
      </w:r>
    </w:p>
    <w:p w:rsidR="00C351DB" w:rsidRPr="00C351DB" w:rsidRDefault="00C351DB" w:rsidP="00C351DB">
      <w:pPr>
        <w:pStyle w:val="ListParagraph"/>
      </w:pPr>
      <w:r w:rsidRPr="00C351DB">
        <w:t>The majority of people with Down syndrome experience a great deal of difficulty learning number. Students with Down syndrome will learn to count and understand what operations (such as subtraction) do but computation is rarely automatic.</w:t>
      </w:r>
    </w:p>
    <w:p w:rsidR="00C351DB" w:rsidRPr="00C351DB" w:rsidRDefault="00C351DB" w:rsidP="00C351DB">
      <w:pPr>
        <w:pStyle w:val="ListParagraph"/>
      </w:pPr>
      <w:r w:rsidRPr="00C351DB">
        <w:t>Computation can be achieved by the use of an electronic calculating device and students need to be explicitly taught how to do this from an early age. Calculators should be available at all times.</w:t>
      </w:r>
    </w:p>
    <w:p w:rsidR="00C351DB" w:rsidRDefault="00C351DB" w:rsidP="00C351DB">
      <w:pPr>
        <w:pStyle w:val="ListParagraph"/>
      </w:pPr>
      <w:r w:rsidRPr="00C351DB">
        <w:t>When supported by an electronic calculator, students with Down syndrome have been shown to achieve a diverse range of mathematics, including algebra, trigonometry, Cartesian geometry and linear programming. Mathematics is not as hierarchical as once thought–it is indeed possible to learn algebra if you are yet to reliably add single digit numbers.</w:t>
      </w:r>
    </w:p>
    <w:p w:rsidR="00C351DB" w:rsidRDefault="00C351DB" w:rsidP="00C351DB"/>
    <w:p w:rsidR="00C351DB" w:rsidRDefault="00C351DB">
      <w:r>
        <w:br w:type="page"/>
      </w:r>
    </w:p>
    <w:p w:rsidR="00C351DB" w:rsidRPr="00C351DB" w:rsidRDefault="00C351DB" w:rsidP="00C351DB">
      <w:r w:rsidRPr="00C351DB">
        <w:lastRenderedPageBreak/>
        <w:t xml:space="preserve">At school, a general principle to follow in deciding what to teach is to teach students what others in their year level would be learning, with adjustments. These adjustments should include the use of calculators and visuals. For example, having a number line, a visual representation of numbers, reinforces the key concept of where numbers are in relation to each other. </w:t>
      </w:r>
    </w:p>
    <w:p w:rsidR="00C351DB" w:rsidRPr="00C351DB" w:rsidRDefault="00C351DB" w:rsidP="00C351DB">
      <w:r w:rsidRPr="00C351DB">
        <w:t xml:space="preserve">The secondary years, when the gap between students with Down syndrome and their class peers seems to be vast, is the time when many students are offered a ‘basic skills’ or ‘functional mathematics’ program. These are usually of little benefit. As noted, most students with Down syndrome have a fundamental, possibly inherent inability to attain early arithmetic skills. Basic skills programs typically revisit work students have been taught for years, without success and with little likelihood of any improvement. What a waste of everyone’s time! </w:t>
      </w:r>
    </w:p>
    <w:p w:rsidR="00C351DB" w:rsidRDefault="00C351DB" w:rsidP="00C351DB">
      <w:r w:rsidRPr="00C351DB">
        <w:t xml:space="preserve">A more productive approach is to adjust the curriculum for the year level. There is an increasing number of examples of success with this strategy (see for example, </w:t>
      </w:r>
      <w:proofErr w:type="spellStart"/>
      <w:r w:rsidRPr="00C351DB">
        <w:t>Monari</w:t>
      </w:r>
      <w:proofErr w:type="spellEnd"/>
      <w:r w:rsidRPr="00C351DB">
        <w:t xml:space="preserve"> Martinez &amp; Benedetti, 2011). The important benefit of this approach is that it ensures our learners with Down syndrome are taught a wide variety of mathematics that is so important for future numeracy. The more mathematics you know, the more at your disposal to be used in life contexts.</w:t>
      </w:r>
    </w:p>
    <w:p w:rsidR="00C351DB" w:rsidRPr="00C351DB" w:rsidRDefault="00C351DB" w:rsidP="00C351DB"/>
    <w:p w:rsidR="00C351DB" w:rsidRPr="00C351DB" w:rsidRDefault="00C351DB" w:rsidP="00C351DB">
      <w:pPr>
        <w:pStyle w:val="Heading2"/>
      </w:pPr>
      <w:r w:rsidRPr="00C351DB">
        <w:t xml:space="preserve">Concluding remarks </w:t>
      </w:r>
    </w:p>
    <w:p w:rsidR="00C351DB" w:rsidRPr="00C351DB" w:rsidRDefault="00C351DB" w:rsidP="00C351DB">
      <w:r w:rsidRPr="00C351DB">
        <w:t>The mathematics learners need to be numerate adults is much broader than ever before. The way we do mathematics in life contexts is also changing with the rapid advent of new technologies. It is very likely that functional skills learnt now will be redundant in future adult contexts. Rather than spending precious school mathematics time learning skills that are considered functional now, we should focus on teaching students as much mathematics as possible.</w:t>
      </w:r>
    </w:p>
    <w:p w:rsidR="00C351DB" w:rsidRDefault="00C351DB" w:rsidP="00836813"/>
    <w:p w:rsidR="00C351DB" w:rsidRPr="00C351DB" w:rsidRDefault="00C351DB" w:rsidP="00C351DB">
      <w:pPr>
        <w:pStyle w:val="Heading2"/>
      </w:pPr>
      <w:r w:rsidRPr="00C351DB">
        <w:t xml:space="preserve">References </w:t>
      </w:r>
    </w:p>
    <w:p w:rsidR="00C351DB" w:rsidRPr="00C351DB" w:rsidRDefault="00C351DB" w:rsidP="00C351DB">
      <w:r w:rsidRPr="00C351DB">
        <w:t xml:space="preserve">Australian Securities and Investments Commission (ASIC). (2011). </w:t>
      </w:r>
      <w:r w:rsidRPr="00C351DB">
        <w:rPr>
          <w:rStyle w:val="Emphasis"/>
        </w:rPr>
        <w:t>National consumer and financial literacy framework</w:t>
      </w:r>
      <w:r w:rsidRPr="00C351DB">
        <w:t xml:space="preserve">. Retrieved from </w:t>
      </w:r>
      <w:r w:rsidRPr="00C351DB">
        <w:rPr>
          <w:rStyle w:val="Hyperlink"/>
        </w:rPr>
        <w:t>www.curriculum.edu. au/verve/_resources/</w:t>
      </w:r>
      <w:proofErr w:type="spellStart"/>
      <w:r w:rsidRPr="00C351DB">
        <w:rPr>
          <w:rStyle w:val="Hyperlink"/>
        </w:rPr>
        <w:t>National_Consumer</w:t>
      </w:r>
      <w:proofErr w:type="spellEnd"/>
      <w:r w:rsidRPr="00C351DB">
        <w:rPr>
          <w:rStyle w:val="Hyperlink"/>
        </w:rPr>
        <w:t>_ Financial_Literacy_Framework_FINAL.pdf</w:t>
      </w:r>
      <w:r w:rsidRPr="00C351DB">
        <w:t xml:space="preserve"> </w:t>
      </w:r>
    </w:p>
    <w:p w:rsidR="00C351DB" w:rsidRPr="00C351DB" w:rsidRDefault="00C351DB" w:rsidP="00C351DB">
      <w:proofErr w:type="spellStart"/>
      <w:r w:rsidRPr="00C351DB">
        <w:t>Faragher</w:t>
      </w:r>
      <w:proofErr w:type="spellEnd"/>
      <w:r w:rsidRPr="00C351DB">
        <w:t xml:space="preserve">, R., &amp; Clarke, B. (Eds.). (2014). </w:t>
      </w:r>
      <w:r w:rsidRPr="00C351DB">
        <w:rPr>
          <w:rStyle w:val="Emphasis"/>
        </w:rPr>
        <w:t>Educating learners with Down syndrome: Research, theory and practice with children and adolescents.</w:t>
      </w:r>
      <w:r w:rsidRPr="00C351DB">
        <w:t xml:space="preserve"> Oxon, UK: Routledge. </w:t>
      </w:r>
    </w:p>
    <w:p w:rsidR="00C351DB" w:rsidRPr="00C351DB" w:rsidRDefault="00C351DB" w:rsidP="00C351DB">
      <w:proofErr w:type="spellStart"/>
      <w:r w:rsidRPr="00C351DB">
        <w:t>Monari</w:t>
      </w:r>
      <w:proofErr w:type="spellEnd"/>
      <w:r w:rsidRPr="00C351DB">
        <w:t xml:space="preserve"> Martinez, E., &amp; Benedetti, N. (2011). Learning mathematics in mainstream secondary schools: experiences of students with Down’s syndrome. </w:t>
      </w:r>
      <w:r w:rsidRPr="00C351DB">
        <w:rPr>
          <w:rStyle w:val="Emphasis"/>
        </w:rPr>
        <w:t>European Journal of Special Needs Education</w:t>
      </w:r>
      <w:r w:rsidRPr="00C351DB">
        <w:t>, 26(4), 531-540. doi:10.1080/08856257.201 1.597179</w:t>
      </w:r>
    </w:p>
    <w:sectPr w:rsidR="00C351DB" w:rsidRPr="00C351DB" w:rsidSect="000D28A7">
      <w:footerReference w:type="default" r:id="rId9"/>
      <w:pgSz w:w="11906" w:h="16838"/>
      <w:pgMar w:top="1440" w:right="1440" w:bottom="144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9A3" w:rsidRDefault="006C09A3" w:rsidP="004C1ED3">
      <w:pPr>
        <w:spacing w:after="0" w:line="240" w:lineRule="auto"/>
      </w:pPr>
      <w:r>
        <w:separator/>
      </w:r>
    </w:p>
  </w:endnote>
  <w:endnote w:type="continuationSeparator" w:id="0">
    <w:p w:rsidR="006C09A3" w:rsidRDefault="006C09A3" w:rsidP="004C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Domus">
    <w:panose1 w:val="00000500000000000000"/>
    <w:charset w:val="00"/>
    <w:family w:val="modern"/>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AGRounded-Bold">
    <w:altName w:val="VAGRounded-Bold"/>
    <w:panose1 w:val="00000000000000000000"/>
    <w:charset w:val="00"/>
    <w:family w:val="auto"/>
    <w:pitch w:val="variable"/>
    <w:sig w:usb0="00000087" w:usb1="00000000" w:usb2="00000000" w:usb3="00000000" w:csb0="0000001B" w:csb1="00000000"/>
  </w:font>
  <w:font w:name="Gill Sans">
    <w:altName w:val="Gill Sans"/>
    <w:panose1 w:val="020B0602020204020204"/>
    <w:charset w:val="00"/>
    <w:family w:val="swiss"/>
    <w:pitch w:val="variable"/>
    <w:sig w:usb0="00000007" w:usb1="00000000" w:usb2="00000000" w:usb3="00000000" w:csb0="00000093" w:csb1="00000000"/>
  </w:font>
  <w:font w:name="VAGRounded-Light">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ED3" w:rsidRPr="000D28A7" w:rsidRDefault="000D28A7" w:rsidP="000D28A7">
    <w:pPr>
      <w:pStyle w:val="Footer"/>
      <w:ind w:left="-851"/>
      <w:rPr>
        <w:rFonts w:ascii="VAGRounded-Light" w:hAnsi="VAGRounded-Light"/>
      </w:rPr>
    </w:pPr>
    <w:r w:rsidRPr="000D28A7">
      <w:rPr>
        <w:rFonts w:ascii="VAGRounded-Bold" w:hAnsi="VAGRounded-Bold"/>
        <w:noProof/>
        <w:lang w:eastAsia="en-AU"/>
      </w:rPr>
      <w:drawing>
        <wp:anchor distT="0" distB="0" distL="114300" distR="114300" simplePos="0" relativeHeight="251659264" behindDoc="0" locked="0" layoutInCell="1" allowOverlap="1" wp14:anchorId="58CF1348" wp14:editId="1B239F61">
          <wp:simplePos x="0" y="0"/>
          <wp:positionH relativeFrom="column">
            <wp:posOffset>5211471</wp:posOffset>
          </wp:positionH>
          <wp:positionV relativeFrom="paragraph">
            <wp:posOffset>-50800</wp:posOffset>
          </wp:positionV>
          <wp:extent cx="1181100" cy="336103"/>
          <wp:effectExtent l="0" t="0" r="0" b="6985"/>
          <wp:wrapNone/>
          <wp:docPr id="13" name="Picture 13" descr="Down Syndrome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A_logo_final2.png"/>
                  <pic:cNvPicPr/>
                </pic:nvPicPr>
                <pic:blipFill>
                  <a:blip r:embed="rId1">
                    <a:extLst>
                      <a:ext uri="{28A0092B-C50C-407E-A947-70E740481C1C}">
                        <a14:useLocalDpi xmlns:a14="http://schemas.microsoft.com/office/drawing/2010/main" val="0"/>
                      </a:ext>
                    </a:extLst>
                  </a:blip>
                  <a:stretch>
                    <a:fillRect/>
                  </a:stretch>
                </pic:blipFill>
                <pic:spPr>
                  <a:xfrm>
                    <a:off x="0" y="0"/>
                    <a:ext cx="1181100" cy="3361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0D28A7">
      <w:rPr>
        <w:rFonts w:ascii="VAGRounded-Bold" w:hAnsi="VAGRounded-Bold"/>
        <w:noProof/>
        <w:lang w:eastAsia="en-AU"/>
      </w:rPr>
      <w:drawing>
        <wp:anchor distT="0" distB="0" distL="114300" distR="114300" simplePos="0" relativeHeight="251660288" behindDoc="0" locked="0" layoutInCell="1" allowOverlap="1" wp14:anchorId="3C6C7459" wp14:editId="27B861BC">
          <wp:simplePos x="0" y="0"/>
          <wp:positionH relativeFrom="column">
            <wp:posOffset>-990600</wp:posOffset>
          </wp:positionH>
          <wp:positionV relativeFrom="paragraph">
            <wp:posOffset>-438785</wp:posOffset>
          </wp:positionV>
          <wp:extent cx="7965440" cy="276860"/>
          <wp:effectExtent l="0" t="0" r="0" b="8890"/>
          <wp:wrapNone/>
          <wp:docPr id="14" name="Picture 14" descr="foo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A_stripes.pn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7965440" cy="2768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bottomMargin">
            <wp14:pctHeight>0</wp14:pctHeight>
          </wp14:sizeRelV>
        </wp:anchor>
      </w:drawing>
    </w:r>
    <w:r w:rsidRPr="000D28A7">
      <w:rPr>
        <w:rFonts w:ascii="VAGRounded-Bold" w:hAnsi="VAGRounded-Bold"/>
      </w:rPr>
      <w:t>Voice</w:t>
    </w:r>
    <w:r w:rsidRPr="000D28A7">
      <w:rPr>
        <w:rFonts w:ascii="VAGRounded-Light" w:hAnsi="VAGRounded-Light"/>
      </w:rPr>
      <w:t xml:space="preserve"> </w:t>
    </w:r>
    <w:r w:rsidR="00836813">
      <w:rPr>
        <w:rFonts w:ascii="VAGRounded-Light" w:hAnsi="VAGRounded-Light"/>
      </w:rPr>
      <w:t>March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9A3" w:rsidRDefault="006C09A3" w:rsidP="004C1ED3">
      <w:pPr>
        <w:spacing w:after="0" w:line="240" w:lineRule="auto"/>
      </w:pPr>
      <w:r>
        <w:separator/>
      </w:r>
    </w:p>
  </w:footnote>
  <w:footnote w:type="continuationSeparator" w:id="0">
    <w:p w:rsidR="006C09A3" w:rsidRDefault="006C09A3" w:rsidP="004C1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62ABA4"/>
    <w:multiLevelType w:val="hybridMultilevel"/>
    <w:tmpl w:val="DE2A4C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CD88D6"/>
    <w:multiLevelType w:val="hybridMultilevel"/>
    <w:tmpl w:val="BDBE57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2"/>
    <w:multiLevelType w:val="multilevel"/>
    <w:tmpl w:val="00000885"/>
    <w:lvl w:ilvl="0">
      <w:start w:val="1"/>
      <w:numFmt w:val="decimal"/>
      <w:lvlText w:val="%1."/>
      <w:lvlJc w:val="left"/>
      <w:pPr>
        <w:ind w:left="385" w:hanging="284"/>
      </w:pPr>
      <w:rPr>
        <w:rFonts w:ascii="Gill Sans MT" w:hAnsi="Gill Sans MT" w:cs="Gill Sans MT"/>
        <w:b/>
        <w:bCs/>
        <w:spacing w:val="-14"/>
        <w:w w:val="99"/>
        <w:sz w:val="20"/>
        <w:szCs w:val="20"/>
      </w:rPr>
    </w:lvl>
    <w:lvl w:ilvl="1">
      <w:numFmt w:val="bullet"/>
      <w:lvlText w:val="•"/>
      <w:lvlJc w:val="left"/>
      <w:pPr>
        <w:ind w:left="1292" w:hanging="284"/>
      </w:pPr>
    </w:lvl>
    <w:lvl w:ilvl="2">
      <w:numFmt w:val="bullet"/>
      <w:lvlText w:val="•"/>
      <w:lvlJc w:val="left"/>
      <w:pPr>
        <w:ind w:left="2205" w:hanging="284"/>
      </w:pPr>
    </w:lvl>
    <w:lvl w:ilvl="3">
      <w:numFmt w:val="bullet"/>
      <w:lvlText w:val="•"/>
      <w:lvlJc w:val="left"/>
      <w:pPr>
        <w:ind w:left="3117" w:hanging="284"/>
      </w:pPr>
    </w:lvl>
    <w:lvl w:ilvl="4">
      <w:numFmt w:val="bullet"/>
      <w:lvlText w:val="•"/>
      <w:lvlJc w:val="left"/>
      <w:pPr>
        <w:ind w:left="4030" w:hanging="284"/>
      </w:pPr>
    </w:lvl>
    <w:lvl w:ilvl="5">
      <w:numFmt w:val="bullet"/>
      <w:lvlText w:val="•"/>
      <w:lvlJc w:val="left"/>
      <w:pPr>
        <w:ind w:left="4942" w:hanging="284"/>
      </w:pPr>
    </w:lvl>
    <w:lvl w:ilvl="6">
      <w:numFmt w:val="bullet"/>
      <w:lvlText w:val="•"/>
      <w:lvlJc w:val="left"/>
      <w:pPr>
        <w:ind w:left="5855" w:hanging="284"/>
      </w:pPr>
    </w:lvl>
    <w:lvl w:ilvl="7">
      <w:numFmt w:val="bullet"/>
      <w:lvlText w:val="•"/>
      <w:lvlJc w:val="left"/>
      <w:pPr>
        <w:ind w:left="6767" w:hanging="284"/>
      </w:pPr>
    </w:lvl>
    <w:lvl w:ilvl="8">
      <w:numFmt w:val="bullet"/>
      <w:lvlText w:val="•"/>
      <w:lvlJc w:val="left"/>
      <w:pPr>
        <w:ind w:left="7680" w:hanging="284"/>
      </w:pPr>
    </w:lvl>
  </w:abstractNum>
  <w:abstractNum w:abstractNumId="3" w15:restartNumberingAfterBreak="0">
    <w:nsid w:val="00D92BAA"/>
    <w:multiLevelType w:val="hybridMultilevel"/>
    <w:tmpl w:val="C79099F2"/>
    <w:lvl w:ilvl="0" w:tplc="A1104A3C">
      <w:start w:val="1"/>
      <w:numFmt w:val="decimal"/>
      <w:lvlText w:val="%1."/>
      <w:lvlJc w:val="left"/>
      <w:pPr>
        <w:ind w:left="720" w:hanging="360"/>
      </w:pPr>
      <w:rPr>
        <w:rFonts w:ascii="Domus" w:hAnsi="Domu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BF271E"/>
    <w:multiLevelType w:val="hybridMultilevel"/>
    <w:tmpl w:val="CE5A122E"/>
    <w:lvl w:ilvl="0" w:tplc="BB6C8D1C">
      <w:start w:val="1"/>
      <w:numFmt w:val="decimal"/>
      <w:pStyle w:val="ListParagraph"/>
      <w:lvlText w:val="%1."/>
      <w:lvlJc w:val="left"/>
      <w:pPr>
        <w:ind w:left="360" w:hanging="360"/>
      </w:pPr>
      <w:rPr>
        <w:rFonts w:ascii="Gill Sans MT" w:hAnsi="Gill Sans MT" w:hint="default"/>
        <w:b/>
        <w:i w:val="0"/>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BC2DBD"/>
    <w:multiLevelType w:val="hybridMultilevel"/>
    <w:tmpl w:val="5E1AC3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343017"/>
    <w:multiLevelType w:val="hybridMultilevel"/>
    <w:tmpl w:val="5F76B01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6"/>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3D"/>
    <w:rsid w:val="00026F2B"/>
    <w:rsid w:val="00086089"/>
    <w:rsid w:val="000876E4"/>
    <w:rsid w:val="000D28A7"/>
    <w:rsid w:val="00245B93"/>
    <w:rsid w:val="0037633D"/>
    <w:rsid w:val="004C1ED3"/>
    <w:rsid w:val="00506B3E"/>
    <w:rsid w:val="00611990"/>
    <w:rsid w:val="006C09A3"/>
    <w:rsid w:val="00836813"/>
    <w:rsid w:val="008A6E5F"/>
    <w:rsid w:val="00BF052B"/>
    <w:rsid w:val="00C351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B6910"/>
  <w15:chartTrackingRefBased/>
  <w15:docId w15:val="{04A63286-E93F-4B34-8DD4-3E2DCB49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26F2B"/>
    <w:rPr>
      <w:rFonts w:ascii="Gill Sans MT" w:hAnsi="Gill Sans MT"/>
      <w:sz w:val="20"/>
    </w:rPr>
  </w:style>
  <w:style w:type="paragraph" w:styleId="Heading1">
    <w:name w:val="heading 1"/>
    <w:basedOn w:val="Normal"/>
    <w:next w:val="Normal"/>
    <w:link w:val="Heading1Char"/>
    <w:uiPriority w:val="9"/>
    <w:qFormat/>
    <w:rsid w:val="00086089"/>
    <w:pPr>
      <w:keepNext/>
      <w:keepLines/>
      <w:spacing w:before="240" w:after="0"/>
      <w:outlineLvl w:val="0"/>
    </w:pPr>
    <w:rPr>
      <w:rFonts w:ascii="VAGRounded-Bold" w:eastAsiaTheme="majorEastAsia" w:hAnsi="VAGRounded-Bold" w:cstheme="majorBidi"/>
      <w:color w:val="811649"/>
      <w:sz w:val="58"/>
      <w:szCs w:val="32"/>
    </w:rPr>
  </w:style>
  <w:style w:type="paragraph" w:styleId="Heading2">
    <w:name w:val="heading 2"/>
    <w:basedOn w:val="Normal"/>
    <w:next w:val="Normal"/>
    <w:link w:val="Heading2Char"/>
    <w:uiPriority w:val="9"/>
    <w:unhideWhenUsed/>
    <w:qFormat/>
    <w:rsid w:val="00BF052B"/>
    <w:pPr>
      <w:keepNext/>
      <w:keepLines/>
      <w:spacing w:before="40" w:after="0" w:line="360" w:lineRule="auto"/>
      <w:outlineLvl w:val="1"/>
    </w:pPr>
    <w:rPr>
      <w:rFonts w:ascii="VAGRounded-Bold" w:eastAsiaTheme="majorEastAsia" w:hAnsi="VAGRounded-Bold" w:cstheme="majorBidi"/>
      <w:color w:val="81164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089"/>
    <w:rPr>
      <w:rFonts w:ascii="VAGRounded-Bold" w:eastAsiaTheme="majorEastAsia" w:hAnsi="VAGRounded-Bold" w:cstheme="majorBidi"/>
      <w:color w:val="811649"/>
      <w:sz w:val="58"/>
      <w:szCs w:val="32"/>
    </w:rPr>
  </w:style>
  <w:style w:type="character" w:customStyle="1" w:styleId="Heading2Char">
    <w:name w:val="Heading 2 Char"/>
    <w:basedOn w:val="DefaultParagraphFont"/>
    <w:link w:val="Heading2"/>
    <w:uiPriority w:val="9"/>
    <w:rsid w:val="00BF052B"/>
    <w:rPr>
      <w:rFonts w:ascii="VAGRounded-Bold" w:eastAsiaTheme="majorEastAsia" w:hAnsi="VAGRounded-Bold" w:cstheme="majorBidi"/>
      <w:color w:val="811649"/>
      <w:sz w:val="26"/>
      <w:szCs w:val="26"/>
    </w:rPr>
  </w:style>
  <w:style w:type="paragraph" w:styleId="Subtitle">
    <w:name w:val="Subtitle"/>
    <w:basedOn w:val="Normal"/>
    <w:next w:val="Normal"/>
    <w:link w:val="SubtitleChar"/>
    <w:uiPriority w:val="11"/>
    <w:qFormat/>
    <w:rsid w:val="004C1ED3"/>
    <w:pPr>
      <w:numPr>
        <w:ilvl w:val="1"/>
      </w:numPr>
      <w:spacing w:before="360" w:line="360" w:lineRule="auto"/>
    </w:pPr>
    <w:rPr>
      <w:rFonts w:ascii="VAGRounded-Bold" w:eastAsiaTheme="minorEastAsia" w:hAnsi="VAGRounded-Bold"/>
      <w:color w:val="000000" w:themeColor="text1"/>
      <w:spacing w:val="15"/>
      <w:sz w:val="32"/>
    </w:rPr>
  </w:style>
  <w:style w:type="character" w:customStyle="1" w:styleId="SubtitleChar">
    <w:name w:val="Subtitle Char"/>
    <w:basedOn w:val="DefaultParagraphFont"/>
    <w:link w:val="Subtitle"/>
    <w:uiPriority w:val="11"/>
    <w:rsid w:val="004C1ED3"/>
    <w:rPr>
      <w:rFonts w:ascii="VAGRounded-Bold" w:eastAsiaTheme="minorEastAsia" w:hAnsi="VAGRounded-Bold"/>
      <w:color w:val="000000" w:themeColor="text1"/>
      <w:spacing w:val="15"/>
      <w:sz w:val="32"/>
    </w:rPr>
  </w:style>
  <w:style w:type="character" w:styleId="Strong">
    <w:name w:val="Strong"/>
    <w:basedOn w:val="DefaultParagraphFont"/>
    <w:uiPriority w:val="22"/>
    <w:qFormat/>
    <w:rsid w:val="00086089"/>
    <w:rPr>
      <w:b/>
      <w:bCs/>
    </w:rPr>
  </w:style>
  <w:style w:type="paragraph" w:customStyle="1" w:styleId="Intro">
    <w:name w:val="Intro"/>
    <w:basedOn w:val="Normal"/>
    <w:qFormat/>
    <w:rsid w:val="00026F2B"/>
    <w:rPr>
      <w:b/>
      <w:color w:val="9FA616"/>
      <w:sz w:val="24"/>
    </w:rPr>
  </w:style>
  <w:style w:type="paragraph" w:styleId="Header">
    <w:name w:val="header"/>
    <w:basedOn w:val="Normal"/>
    <w:link w:val="HeaderChar"/>
    <w:uiPriority w:val="99"/>
    <w:unhideWhenUsed/>
    <w:rsid w:val="004C1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ED3"/>
    <w:rPr>
      <w:rFonts w:ascii="Gill Sans" w:hAnsi="Gill Sans"/>
      <w:sz w:val="20"/>
    </w:rPr>
  </w:style>
  <w:style w:type="paragraph" w:styleId="Footer">
    <w:name w:val="footer"/>
    <w:basedOn w:val="Normal"/>
    <w:link w:val="FooterChar"/>
    <w:uiPriority w:val="99"/>
    <w:unhideWhenUsed/>
    <w:rsid w:val="004C1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ED3"/>
    <w:rPr>
      <w:rFonts w:ascii="Gill Sans" w:hAnsi="Gill Sans"/>
      <w:sz w:val="20"/>
    </w:rPr>
  </w:style>
  <w:style w:type="paragraph" w:customStyle="1" w:styleId="Default">
    <w:name w:val="Default"/>
    <w:rsid w:val="00BF052B"/>
    <w:pPr>
      <w:autoSpaceDE w:val="0"/>
      <w:autoSpaceDN w:val="0"/>
      <w:adjustRightInd w:val="0"/>
      <w:spacing w:after="0" w:line="240" w:lineRule="auto"/>
    </w:pPr>
    <w:rPr>
      <w:rFonts w:ascii="Gill Sans MT" w:hAnsi="Gill Sans MT" w:cs="Gill Sans MT"/>
      <w:color w:val="000000"/>
      <w:sz w:val="24"/>
      <w:szCs w:val="24"/>
    </w:rPr>
  </w:style>
  <w:style w:type="paragraph" w:customStyle="1" w:styleId="Pa4">
    <w:name w:val="Pa4"/>
    <w:basedOn w:val="Default"/>
    <w:next w:val="Default"/>
    <w:uiPriority w:val="99"/>
    <w:rsid w:val="00BF052B"/>
    <w:pPr>
      <w:spacing w:line="201" w:lineRule="atLeast"/>
    </w:pPr>
    <w:rPr>
      <w:rFonts w:cstheme="minorBidi"/>
      <w:color w:val="auto"/>
    </w:rPr>
  </w:style>
  <w:style w:type="paragraph" w:customStyle="1" w:styleId="Pa5">
    <w:name w:val="Pa5"/>
    <w:basedOn w:val="Default"/>
    <w:next w:val="Default"/>
    <w:uiPriority w:val="99"/>
    <w:rsid w:val="00BF052B"/>
    <w:pPr>
      <w:spacing w:line="261" w:lineRule="atLeast"/>
    </w:pPr>
    <w:rPr>
      <w:rFonts w:ascii="VAGRounded-Bold" w:hAnsi="VAGRounded-Bold" w:cstheme="minorBidi"/>
      <w:color w:val="auto"/>
    </w:rPr>
  </w:style>
  <w:style w:type="paragraph" w:styleId="ListParagraph">
    <w:name w:val="List Paragraph"/>
    <w:basedOn w:val="Normal"/>
    <w:uiPriority w:val="1"/>
    <w:qFormat/>
    <w:rsid w:val="00C351DB"/>
    <w:pPr>
      <w:numPr>
        <w:numId w:val="3"/>
      </w:numPr>
    </w:pPr>
  </w:style>
  <w:style w:type="character" w:styleId="Hyperlink">
    <w:name w:val="Hyperlink"/>
    <w:basedOn w:val="DefaultParagraphFont"/>
    <w:uiPriority w:val="99"/>
    <w:unhideWhenUsed/>
    <w:rsid w:val="00C351DB"/>
    <w:rPr>
      <w:rFonts w:ascii="Gill Sans MT" w:hAnsi="Gill Sans MT"/>
      <w:b/>
      <w:color w:val="000000" w:themeColor="text1"/>
      <w:u w:val="none"/>
    </w:rPr>
  </w:style>
  <w:style w:type="character" w:styleId="Mention">
    <w:name w:val="Mention"/>
    <w:basedOn w:val="DefaultParagraphFont"/>
    <w:uiPriority w:val="99"/>
    <w:semiHidden/>
    <w:unhideWhenUsed/>
    <w:rsid w:val="00836813"/>
    <w:rPr>
      <w:color w:val="2B579A"/>
      <w:shd w:val="clear" w:color="auto" w:fill="E6E6E6"/>
    </w:rPr>
  </w:style>
  <w:style w:type="paragraph" w:styleId="BodyText">
    <w:name w:val="Body Text"/>
    <w:basedOn w:val="Normal"/>
    <w:link w:val="BodyTextChar"/>
    <w:uiPriority w:val="1"/>
    <w:qFormat/>
    <w:rsid w:val="00C351DB"/>
    <w:pPr>
      <w:autoSpaceDE w:val="0"/>
      <w:autoSpaceDN w:val="0"/>
      <w:adjustRightInd w:val="0"/>
      <w:spacing w:after="0" w:line="240" w:lineRule="auto"/>
      <w:ind w:left="39" w:right="4466"/>
    </w:pPr>
    <w:rPr>
      <w:rFonts w:cs="Gill Sans MT"/>
      <w:szCs w:val="20"/>
    </w:rPr>
  </w:style>
  <w:style w:type="character" w:customStyle="1" w:styleId="BodyTextChar">
    <w:name w:val="Body Text Char"/>
    <w:basedOn w:val="DefaultParagraphFont"/>
    <w:link w:val="BodyText"/>
    <w:uiPriority w:val="1"/>
    <w:rsid w:val="00C351DB"/>
    <w:rPr>
      <w:rFonts w:ascii="Gill Sans MT" w:hAnsi="Gill Sans MT" w:cs="Gill Sans MT"/>
      <w:sz w:val="20"/>
      <w:szCs w:val="20"/>
    </w:rPr>
  </w:style>
  <w:style w:type="paragraph" w:customStyle="1" w:styleId="Pa3">
    <w:name w:val="Pa3"/>
    <w:basedOn w:val="Default"/>
    <w:next w:val="Default"/>
    <w:uiPriority w:val="99"/>
    <w:rsid w:val="00C351DB"/>
    <w:pPr>
      <w:spacing w:line="201" w:lineRule="atLeast"/>
    </w:pPr>
    <w:rPr>
      <w:rFonts w:cstheme="minorBidi"/>
      <w:color w:val="auto"/>
    </w:rPr>
  </w:style>
  <w:style w:type="paragraph" w:customStyle="1" w:styleId="Pa8">
    <w:name w:val="Pa8"/>
    <w:basedOn w:val="Default"/>
    <w:next w:val="Default"/>
    <w:uiPriority w:val="99"/>
    <w:rsid w:val="00C351DB"/>
    <w:pPr>
      <w:spacing w:line="201" w:lineRule="atLeast"/>
    </w:pPr>
    <w:rPr>
      <w:rFonts w:ascii="VAGRounded-Bold" w:hAnsi="VAGRounded-Bold" w:cstheme="minorBidi"/>
      <w:color w:val="auto"/>
    </w:rPr>
  </w:style>
  <w:style w:type="character" w:styleId="Emphasis">
    <w:name w:val="Emphasis"/>
    <w:basedOn w:val="DefaultParagraphFont"/>
    <w:uiPriority w:val="20"/>
    <w:qFormat/>
    <w:rsid w:val="00C351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eysmart.gov.au/" TargetMode="External"/><Relationship Id="rId3" Type="http://schemas.openxmlformats.org/officeDocument/2006/relationships/settings" Target="settings.xml"/><Relationship Id="rId7" Type="http://schemas.openxmlformats.org/officeDocument/2006/relationships/hyperlink" Target="http://www.australiancurriculum.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dc:creator>
  <cp:keywords/>
  <dc:description/>
  <cp:lastModifiedBy>Kristen</cp:lastModifiedBy>
  <cp:revision>3</cp:revision>
  <dcterms:created xsi:type="dcterms:W3CDTF">2017-03-14T23:03:00Z</dcterms:created>
  <dcterms:modified xsi:type="dcterms:W3CDTF">2017-03-14T23:20:00Z</dcterms:modified>
</cp:coreProperties>
</file>